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CFC2" w14:textId="3A35F31D" w:rsidR="008D4791" w:rsidRDefault="004E2B16">
      <w:r w:rsidRPr="004E2B16">
        <w:rPr>
          <w:lang w:val="fr-MG"/>
        </w:rPr>
        <w:t>Gestion des remboursements patients : optimisation et conformité (PRS System)</w:t>
      </w:r>
    </w:p>
    <w:sectPr w:rsidR="008D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16"/>
    <w:rsid w:val="002417EC"/>
    <w:rsid w:val="004E2B16"/>
    <w:rsid w:val="008D4791"/>
    <w:rsid w:val="00B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CC75"/>
  <w15:chartTrackingRefBased/>
  <w15:docId w15:val="{810C3A82-5935-48A1-99E0-9E2F675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2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2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2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2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2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2B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2B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2B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2B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2B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2B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2B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2B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2B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2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2B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2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Lalaina Rakotoarisoa</dc:creator>
  <cp:keywords/>
  <dc:description/>
  <cp:lastModifiedBy>Lalaina Rakotoarisoa</cp:lastModifiedBy>
  <cp:revision>1</cp:revision>
  <dcterms:created xsi:type="dcterms:W3CDTF">2026-01-23T11:40:00Z</dcterms:created>
  <dcterms:modified xsi:type="dcterms:W3CDTF">2026-01-23T11:40:00Z</dcterms:modified>
</cp:coreProperties>
</file>