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1549" w14:textId="6E46E65E" w:rsidR="008D4791" w:rsidRDefault="003C6687">
      <w:r w:rsidRPr="003C6687">
        <w:rPr>
          <w:lang w:val="fr-MG"/>
        </w:rPr>
        <w:t>MDR et IVDR : comment anticiper les nouvelles exigences réglementaires</w:t>
      </w:r>
    </w:p>
    <w:sectPr w:rsidR="008D4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87"/>
    <w:rsid w:val="002417EC"/>
    <w:rsid w:val="003C6687"/>
    <w:rsid w:val="008D4791"/>
    <w:rsid w:val="00B3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5172"/>
  <w15:chartTrackingRefBased/>
  <w15:docId w15:val="{4590CA7C-E629-4E1F-BF11-F7B674A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6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6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6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6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6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66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66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66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66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66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66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66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66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66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66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6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Lalaina Rakotoarisoa</dc:creator>
  <cp:keywords/>
  <dc:description/>
  <cp:lastModifiedBy>Lalaina Rakotoarisoa</cp:lastModifiedBy>
  <cp:revision>1</cp:revision>
  <dcterms:created xsi:type="dcterms:W3CDTF">2026-01-23T11:40:00Z</dcterms:created>
  <dcterms:modified xsi:type="dcterms:W3CDTF">2026-01-23T11:40:00Z</dcterms:modified>
</cp:coreProperties>
</file>